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A1" w:rsidRDefault="00315126">
      <w:pPr>
        <w:pStyle w:val="normal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花蓮縣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太</w:t>
      </w:r>
      <w:proofErr w:type="gramEnd"/>
      <w:r>
        <w:rPr>
          <w:rFonts w:ascii="標楷體" w:eastAsia="標楷體" w:hAnsi="標楷體" w:cs="標楷體"/>
          <w:sz w:val="32"/>
          <w:szCs w:val="32"/>
        </w:rPr>
        <w:t>昌國小</w:t>
      </w:r>
      <w:r>
        <w:rPr>
          <w:rFonts w:ascii="標楷體" w:eastAsia="標楷體" w:hAnsi="標楷體" w:cs="標楷體"/>
          <w:sz w:val="32"/>
          <w:szCs w:val="32"/>
        </w:rPr>
        <w:t>107</w:t>
      </w:r>
      <w:r>
        <w:rPr>
          <w:rFonts w:ascii="標楷體" w:eastAsia="標楷體" w:hAnsi="標楷體" w:cs="標楷體"/>
          <w:sz w:val="32"/>
          <w:szCs w:val="32"/>
        </w:rPr>
        <w:t>學年度第一學期</w:t>
      </w:r>
      <w:r>
        <w:rPr>
          <w:rFonts w:ascii="標楷體" w:eastAsia="標楷體" w:hAnsi="標楷體" w:cs="標楷體"/>
          <w:color w:val="FF0000"/>
          <w:sz w:val="32"/>
          <w:szCs w:val="32"/>
        </w:rPr>
        <w:t>三</w:t>
      </w:r>
      <w:r>
        <w:rPr>
          <w:rFonts w:ascii="標楷體" w:eastAsia="標楷體" w:hAnsi="標楷體" w:cs="標楷體" w:hint="eastAsia"/>
          <w:color w:val="FF0000"/>
          <w:sz w:val="32"/>
          <w:szCs w:val="32"/>
        </w:rPr>
        <w:t>~六</w:t>
      </w:r>
      <w:r>
        <w:rPr>
          <w:rFonts w:ascii="標楷體" w:eastAsia="標楷體" w:hAnsi="標楷體" w:cs="標楷體"/>
          <w:sz w:val="32"/>
          <w:szCs w:val="32"/>
        </w:rPr>
        <w:t>年級學期總成績計算方式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5"/>
        <w:gridCol w:w="1417"/>
        <w:gridCol w:w="4249"/>
        <w:gridCol w:w="2407"/>
      </w:tblGrid>
      <w:tr w:rsidR="003F78A1">
        <w:tc>
          <w:tcPr>
            <w:tcW w:w="1555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</w:p>
        </w:tc>
        <w:tc>
          <w:tcPr>
            <w:tcW w:w="141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比例</w:t>
            </w:r>
          </w:p>
        </w:tc>
      </w:tr>
      <w:tr w:rsidR="003F78A1">
        <w:trPr>
          <w:trHeight w:val="36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4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平時成績：習作、平時測驗、上課發表、作文、巡迴演說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閩南語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課文朗讀、課文演唱、短劇表演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16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上課發表、課堂表現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40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40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66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自然領域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自然與生活科技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78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40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社會領域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社會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6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健體領域</w:t>
            </w:r>
            <w:proofErr w:type="gramEnd"/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體育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測驗成績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             )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4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期末定期評量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8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藝文領域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音樂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直笛演奏、歌曲演唱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16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4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美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作品成績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4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藝術欣賞、課堂發表、課堂表現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8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學習單、活動表現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0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課堂發表、課堂表現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</w:tbl>
    <w:p w:rsidR="003F78A1" w:rsidRDefault="003F78A1">
      <w:pPr>
        <w:pStyle w:val="normal"/>
        <w:rPr>
          <w:sz w:val="32"/>
          <w:szCs w:val="32"/>
        </w:rPr>
      </w:pPr>
      <w:bookmarkStart w:id="0" w:name="_gjdgxs" w:colFirst="0" w:colLast="0"/>
      <w:bookmarkEnd w:id="0"/>
    </w:p>
    <w:p w:rsidR="003F78A1" w:rsidRDefault="00315126">
      <w:pPr>
        <w:pStyle w:val="normal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花蓮縣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太</w:t>
      </w:r>
      <w:proofErr w:type="gramEnd"/>
      <w:r>
        <w:rPr>
          <w:rFonts w:ascii="標楷體" w:eastAsia="標楷體" w:hAnsi="標楷體" w:cs="標楷體"/>
          <w:sz w:val="32"/>
          <w:szCs w:val="32"/>
        </w:rPr>
        <w:t>昌國小</w:t>
      </w:r>
      <w:r>
        <w:rPr>
          <w:rFonts w:ascii="標楷體" w:eastAsia="標楷體" w:hAnsi="標楷體" w:cs="標楷體"/>
          <w:sz w:val="32"/>
          <w:szCs w:val="32"/>
        </w:rPr>
        <w:t>107</w:t>
      </w:r>
      <w:r>
        <w:rPr>
          <w:rFonts w:ascii="標楷體" w:eastAsia="標楷體" w:hAnsi="標楷體" w:cs="標楷體"/>
          <w:sz w:val="32"/>
          <w:szCs w:val="32"/>
        </w:rPr>
        <w:t>學年度第一學期</w:t>
      </w:r>
      <w:r>
        <w:rPr>
          <w:rFonts w:ascii="標楷體" w:eastAsia="標楷體" w:hAnsi="標楷體" w:cs="標楷體"/>
          <w:color w:val="FF0000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年級學期總成績計算方式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5"/>
        <w:gridCol w:w="1417"/>
        <w:gridCol w:w="4249"/>
        <w:gridCol w:w="2407"/>
      </w:tblGrid>
      <w:tr w:rsidR="003F78A1">
        <w:tc>
          <w:tcPr>
            <w:tcW w:w="1555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</w:p>
        </w:tc>
        <w:tc>
          <w:tcPr>
            <w:tcW w:w="141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比例</w:t>
            </w:r>
          </w:p>
        </w:tc>
      </w:tr>
      <w:tr w:rsidR="003F78A1">
        <w:trPr>
          <w:trHeight w:val="36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4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平時成績：習作、平時測驗、上課發表、作文、巡迴演說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閩南語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課文朗讀、課文演唱、短劇表演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16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上課發表、課堂表現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40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3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66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二次定期評量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78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6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健體領域</w:t>
            </w:r>
            <w:proofErr w:type="gramEnd"/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體育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測驗成績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             )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42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期末定期評量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8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80"/>
        </w:trPr>
        <w:tc>
          <w:tcPr>
            <w:tcW w:w="1555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綜合領域</w:t>
            </w:r>
          </w:p>
        </w:tc>
        <w:tc>
          <w:tcPr>
            <w:tcW w:w="1417" w:type="dxa"/>
            <w:vMerge w:val="restart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綜合</w:t>
            </w: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學習單、活動表現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  <w:tr w:rsidR="003F78A1">
        <w:trPr>
          <w:trHeight w:val="200"/>
        </w:trPr>
        <w:tc>
          <w:tcPr>
            <w:tcW w:w="1555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78A1" w:rsidRDefault="003F78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3F78A1" w:rsidRDefault="00315126">
            <w:pPr>
              <w:pStyle w:val="normal"/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平時成績：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課堂發表、課堂表現</w:t>
            </w:r>
          </w:p>
        </w:tc>
        <w:tc>
          <w:tcPr>
            <w:tcW w:w="2407" w:type="dxa"/>
          </w:tcPr>
          <w:p w:rsidR="003F78A1" w:rsidRDefault="00315126">
            <w:pPr>
              <w:pStyle w:val="normal"/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50%</w:t>
            </w:r>
          </w:p>
        </w:tc>
      </w:tr>
    </w:tbl>
    <w:p w:rsidR="003F78A1" w:rsidRDefault="003F78A1">
      <w:pPr>
        <w:pStyle w:val="normal"/>
        <w:rPr>
          <w:sz w:val="32"/>
          <w:szCs w:val="32"/>
        </w:rPr>
      </w:pPr>
    </w:p>
    <w:p w:rsidR="003F78A1" w:rsidRDefault="003F78A1">
      <w:pPr>
        <w:pStyle w:val="normal"/>
        <w:rPr>
          <w:sz w:val="32"/>
          <w:szCs w:val="32"/>
        </w:rPr>
      </w:pPr>
    </w:p>
    <w:sectPr w:rsidR="003F78A1" w:rsidSect="003F78A1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26" w:rsidRDefault="00315126" w:rsidP="00315126">
      <w:r>
        <w:separator/>
      </w:r>
    </w:p>
  </w:endnote>
  <w:endnote w:type="continuationSeparator" w:id="0">
    <w:p w:rsidR="00315126" w:rsidRDefault="00315126" w:rsidP="00315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26" w:rsidRDefault="00315126" w:rsidP="00315126">
      <w:r>
        <w:separator/>
      </w:r>
    </w:p>
  </w:footnote>
  <w:footnote w:type="continuationSeparator" w:id="0">
    <w:p w:rsidR="00315126" w:rsidRDefault="00315126" w:rsidP="00315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8A1"/>
    <w:rsid w:val="00315126"/>
    <w:rsid w:val="003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F78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78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78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78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F78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F78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78A1"/>
  </w:style>
  <w:style w:type="table" w:customStyle="1" w:styleId="TableNormal">
    <w:name w:val="Table Normal"/>
    <w:rsid w:val="003F78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78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F78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78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F78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5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1512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15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151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</Words>
  <Characters>685</Characters>
  <Application>Microsoft Office Word</Application>
  <DocSecurity>0</DocSecurity>
  <Lines>5</Lines>
  <Paragraphs>1</Paragraphs>
  <ScaleCrop>false</ScaleCrop>
  <Company>HOME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2018-08-29T07:04:00Z</dcterms:created>
  <dcterms:modified xsi:type="dcterms:W3CDTF">2018-08-29T07:18:00Z</dcterms:modified>
</cp:coreProperties>
</file>